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0D8" w:rsidRDefault="009D00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D00D8" w:rsidRDefault="00D94DE8">
      <w:pPr>
        <w:jc w:val="center"/>
        <w:rPr>
          <w:rFonts w:ascii="Arial" w:hAnsi="Arial" w:cs="Arial"/>
          <w:b/>
          <w:sz w:val="28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定性暴露评估数据收集表</w:t>
      </w:r>
    </w:p>
    <w:p w:rsidR="009D00D8" w:rsidRDefault="009D00D8">
      <w:pP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>每项作业任务均须接受定性暴露评估</w:t>
      </w: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 xml:space="preserve"> (QEA)</w:t>
      </w: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>。每项作业任务对应使用一份《</w:t>
      </w: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 xml:space="preserve">QEA </w:t>
      </w: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>数据收集表》。本表格的填写说明请见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>《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 xml:space="preserve">QEA 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>流程指南（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 xml:space="preserve">2019 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>年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 xml:space="preserve"> 6 </w:t>
      </w:r>
      <w:r>
        <w:rPr>
          <w:rFonts w:ascii="SimSun" w:eastAsia="SimSun" w:hAnsi="SimSun" w:cs="SimSun"/>
          <w:b/>
          <w:bCs/>
          <w:i/>
          <w:iCs/>
          <w:sz w:val="22"/>
          <w:szCs w:val="22"/>
          <w:lang w:eastAsia="zh-CN"/>
        </w:rPr>
        <w:t>月）》</w:t>
      </w: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>。</w:t>
      </w:r>
    </w:p>
    <w:p w:rsidR="009D00D8" w:rsidRDefault="009D00D8">
      <w:pP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u w:val="single"/>
          <w:lang w:eastAsia="zh-CN"/>
        </w:rPr>
        <w:t>作业任务描述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生产线或制造工艺名称：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作业任务名称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作业任务规范编号：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作业任务工作站描述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作业任务描述：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作业任务时长、频次、可变性：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u w:val="single"/>
          <w:lang w:eastAsia="zh-CN"/>
        </w:rPr>
        <w:t>职位描述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执行作业任务的员工所在职位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执行作业任务的员工人数：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sz w:val="28"/>
          <w:szCs w:val="22"/>
          <w:u w:val="single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SimSun" w:eastAsia="SimSun" w:hAnsi="SimSun" w:cs="SimSun"/>
          <w:b/>
          <w:bCs/>
          <w:sz w:val="28"/>
          <w:szCs w:val="28"/>
          <w:u w:val="single"/>
          <w:lang w:eastAsia="zh-CN"/>
        </w:rPr>
        <w:lastRenderedPageBreak/>
        <w:t>暴露控制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rPr>
          <w:rFonts w:ascii="Arial" w:hAnsi="Arial" w:cs="Arial"/>
          <w:sz w:val="22"/>
          <w:szCs w:val="22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工程控制手段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行政控制手段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个人防护装备</w:t>
      </w: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 xml:space="preserve"> (PPE)</w:t>
      </w: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先前任何定量暴露评估发现的记录</w:t>
      </w: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/</w:t>
      </w: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观察内容或结果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u w:val="single"/>
          <w:lang w:eastAsia="zh-CN"/>
        </w:rPr>
        <w:t>化学品库存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作业任务期间使用的化学品：化学品制造商名称、化学品名称：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 w:rsidP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作业任务期间化学品的使用率</w:t>
      </w:r>
      <w:r>
        <w:rPr>
          <w:rFonts w:ascii="SimSun" w:eastAsia="SimSun" w:hAnsi="SimSun" w:cs="SimSun"/>
          <w:sz w:val="22"/>
          <w:szCs w:val="22"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eastAsia="zh-CN"/>
        </w:rPr>
        <w:sectPr w:rsidR="009D00D8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8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u w:val="single"/>
          <w:lang w:eastAsia="zh-CN"/>
        </w:rPr>
        <w:t>定性暴露评估风险等级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化学品名称</w:t>
      </w:r>
      <w:r>
        <w:rPr>
          <w:rFonts w:ascii="SimSun" w:eastAsia="SimSun" w:hAnsi="SimSun" w:cs="SimSun"/>
          <w:b/>
          <w:bCs/>
          <w:lang w:eastAsia="zh-CN"/>
        </w:rPr>
        <w:t xml:space="preserve"> (1)</w:t>
      </w:r>
      <w:r>
        <w:rPr>
          <w:rFonts w:ascii="SimSun" w:eastAsia="SimSun" w:hAnsi="SimSun" w:cs="SimSun"/>
          <w:b/>
          <w:bCs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健康影响评级：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暴露评级计算结果：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蒸气压：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分散性评级：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控制等级评级：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频次</w:t>
      </w:r>
      <w:r>
        <w:rPr>
          <w:rFonts w:ascii="SimSun" w:eastAsia="SimSun" w:hAnsi="SimSun" w:cs="SimSun"/>
          <w:sz w:val="22"/>
          <w:szCs w:val="22"/>
          <w:lang w:eastAsia="zh-CN"/>
        </w:rPr>
        <w:t>/</w:t>
      </w:r>
      <w:r>
        <w:rPr>
          <w:rFonts w:ascii="SimSun" w:eastAsia="SimSun" w:hAnsi="SimSun" w:cs="SimSun"/>
          <w:sz w:val="22"/>
          <w:szCs w:val="22"/>
          <w:lang w:eastAsia="zh-CN"/>
        </w:rPr>
        <w:t>时长评级：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总体风险等级：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微小至低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可接受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中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不确定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高至非常高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不可接受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</w:p>
    <w:p w:rsidR="00D94DE8" w:rsidRDefault="00D94DE8" w:rsidP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imSun" w:eastAsia="SimSun" w:hAnsi="SimSun" w:cs="SimSun"/>
          <w:b/>
          <w:bCs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建议</w:t>
      </w: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/</w:t>
      </w: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今后行动</w:t>
      </w:r>
      <w:r>
        <w:rPr>
          <w:rFonts w:ascii="SimSun" w:eastAsia="SimSun" w:hAnsi="SimSun" w:cs="SimSun"/>
          <w:b/>
          <w:bCs/>
          <w:lang w:eastAsia="zh-CN"/>
        </w:rPr>
        <w:t>：</w:t>
      </w:r>
    </w:p>
    <w:p w:rsidR="00D94DE8" w:rsidRPr="00D94DE8" w:rsidRDefault="00D94DE8" w:rsidP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SimSun" w:eastAsia="SimSun" w:hAnsi="SimSun" w:cs="SimSun"/>
          <w:b/>
          <w:bCs/>
          <w:sz w:val="18"/>
          <w:szCs w:val="18"/>
          <w:lang w:eastAsia="zh-CN"/>
        </w:r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化学品名称</w:t>
      </w:r>
      <w:r>
        <w:rPr>
          <w:rFonts w:ascii="SimSun" w:eastAsia="SimSun" w:hAnsi="SimSun" w:cs="SimSun"/>
          <w:b/>
          <w:bCs/>
          <w:lang w:eastAsia="zh-CN"/>
        </w:rPr>
        <w:t xml:space="preserve"> (2)</w:t>
      </w:r>
      <w:r>
        <w:rPr>
          <w:rFonts w:ascii="SimSun" w:eastAsia="SimSun" w:hAnsi="SimSun" w:cs="SimSun"/>
          <w:b/>
          <w:bCs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健康影响评级：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暴露评级计算结果：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蒸气压：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分散性评级：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控制等级评级：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频次</w:t>
      </w:r>
      <w:r>
        <w:rPr>
          <w:rFonts w:ascii="SimSun" w:eastAsia="SimSun" w:hAnsi="SimSun" w:cs="SimSun"/>
          <w:sz w:val="22"/>
          <w:szCs w:val="22"/>
          <w:lang w:eastAsia="zh-CN"/>
        </w:rPr>
        <w:t>/</w:t>
      </w:r>
      <w:r>
        <w:rPr>
          <w:rFonts w:ascii="SimSun" w:eastAsia="SimSun" w:hAnsi="SimSun" w:cs="SimSun"/>
          <w:sz w:val="22"/>
          <w:szCs w:val="22"/>
          <w:lang w:eastAsia="zh-CN"/>
        </w:rPr>
        <w:t>时长评级：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总体风险等级：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微小至低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可接受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中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不确定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高至非常高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不可接受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建议</w:t>
      </w: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/</w:t>
      </w: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今后行动</w:t>
      </w:r>
      <w:r>
        <w:rPr>
          <w:rFonts w:ascii="SimSun" w:eastAsia="SimSun" w:hAnsi="SimSun" w:cs="SimSun"/>
          <w:b/>
          <w:bCs/>
          <w:lang w:eastAsia="zh-CN"/>
        </w:rPr>
        <w:t>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\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eastAsia="zh-CN"/>
        </w:rPr>
        <w:sectPr w:rsidR="009D00D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  <w:sectPr w:rsidR="009D00D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lastRenderedPageBreak/>
        <w:t>化学品名称</w:t>
      </w:r>
      <w:r>
        <w:rPr>
          <w:rFonts w:ascii="SimSun" w:eastAsia="SimSun" w:hAnsi="SimSun" w:cs="SimSun"/>
          <w:b/>
          <w:bCs/>
          <w:lang w:eastAsia="zh-CN"/>
        </w:rPr>
        <w:t xml:space="preserve"> (3)</w:t>
      </w:r>
      <w:r>
        <w:rPr>
          <w:rFonts w:ascii="SimSun" w:eastAsia="SimSun" w:hAnsi="SimSun" w:cs="SimSun"/>
          <w:b/>
          <w:bCs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健康影响评级：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暴露评级计算结果：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蒸气压：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分散性评级：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控制等级评级：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频次</w:t>
      </w:r>
      <w:r>
        <w:rPr>
          <w:rFonts w:ascii="SimSun" w:eastAsia="SimSun" w:hAnsi="SimSun" w:cs="SimSun"/>
          <w:sz w:val="22"/>
          <w:szCs w:val="22"/>
          <w:lang w:eastAsia="zh-CN"/>
        </w:rPr>
        <w:t>/</w:t>
      </w:r>
      <w:r>
        <w:rPr>
          <w:rFonts w:ascii="SimSun" w:eastAsia="SimSun" w:hAnsi="SimSun" w:cs="SimSun"/>
          <w:sz w:val="22"/>
          <w:szCs w:val="22"/>
          <w:lang w:eastAsia="zh-CN"/>
        </w:rPr>
        <w:t>时长评级：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总体风险等级：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>-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  <w:r>
        <w:rPr>
          <w:rFonts w:ascii="SimSun" w:eastAsia="SimSun" w:hAnsi="SimSun" w:cs="SimSun"/>
          <w:sz w:val="22"/>
          <w:szCs w:val="22"/>
          <w:lang w:eastAsia="zh-CN"/>
        </w:rPr>
        <w:t>微小至低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可接受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中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不确定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sz w:val="22"/>
          <w:szCs w:val="22"/>
          <w:lang w:eastAsia="zh-CN"/>
        </w:rPr>
        <w:tab/>
        <w:t xml:space="preserve">- </w:t>
      </w:r>
      <w:r>
        <w:rPr>
          <w:rFonts w:ascii="SimSun" w:eastAsia="SimSun" w:hAnsi="SimSun" w:cs="SimSun"/>
          <w:sz w:val="22"/>
          <w:szCs w:val="22"/>
          <w:lang w:eastAsia="zh-CN"/>
        </w:rPr>
        <w:t>高至非常高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/ </w:t>
      </w:r>
      <w:r>
        <w:rPr>
          <w:rFonts w:ascii="SimSun" w:eastAsia="SimSun" w:hAnsi="SimSun" w:cs="SimSun"/>
          <w:sz w:val="22"/>
          <w:szCs w:val="22"/>
          <w:lang w:eastAsia="zh-CN"/>
        </w:rPr>
        <w:t>不可接受</w:t>
      </w:r>
      <w:r>
        <w:rPr>
          <w:rFonts w:ascii="SimSun" w:eastAsia="SimSun" w:hAnsi="SimSun" w:cs="SimSun"/>
          <w:sz w:val="22"/>
          <w:szCs w:val="22"/>
          <w:lang w:eastAsia="zh-CN"/>
        </w:rPr>
        <w:t xml:space="preserve"> 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eastAsia="zh-CN"/>
        </w:rPr>
      </w:pP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建议</w:t>
      </w: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/</w:t>
      </w:r>
      <w:r>
        <w:rPr>
          <w:rFonts w:ascii="SimSun" w:eastAsia="SimSun" w:hAnsi="SimSun" w:cs="SimSun"/>
          <w:b/>
          <w:bCs/>
          <w:sz w:val="28"/>
          <w:szCs w:val="28"/>
          <w:lang w:eastAsia="zh-CN"/>
        </w:rPr>
        <w:t>今后行动</w:t>
      </w:r>
      <w:r>
        <w:rPr>
          <w:rFonts w:ascii="SimSun" w:eastAsia="SimSun" w:hAnsi="SimSun" w:cs="SimSun"/>
          <w:b/>
          <w:bCs/>
          <w:lang w:eastAsia="zh-CN"/>
        </w:rPr>
        <w:t>：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eastAsia="zh-CN"/>
        </w:r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</w:p>
    <w:p w:rsidR="009D00D8" w:rsidRDefault="00D94D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r>
        <w:rPr>
          <w:rFonts w:ascii="SimSun" w:eastAsia="SimSun" w:hAnsi="SimSun" w:cs="SimSun"/>
          <w:i/>
          <w:iCs/>
          <w:sz w:val="22"/>
          <w:szCs w:val="22"/>
          <w:lang w:eastAsia="zh-CN"/>
        </w:rPr>
        <w:t>如有必要，为任务期间使用的其他化学品额外添加风险等级评估结果</w:t>
      </w:r>
      <w:r>
        <w:rPr>
          <w:rFonts w:ascii="SimSun" w:eastAsia="SimSun" w:hAnsi="SimSun" w:cs="SimSun"/>
          <w:sz w:val="22"/>
          <w:szCs w:val="22"/>
          <w:lang w:eastAsia="zh-CN"/>
        </w:rPr>
        <w:t>。</w:t>
      </w: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eastAsia="zh-CN"/>
        </w:rPr>
      </w:pPr>
    </w:p>
    <w:p w:rsidR="009D00D8" w:rsidRDefault="009D00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eastAsia="zh-CN"/>
        </w:rPr>
        <w:sectPr w:rsidR="009D00D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9D00D8" w:rsidRDefault="009D00D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eastAsia="zh-CN"/>
        </w:rPr>
      </w:pPr>
      <w:bookmarkStart w:id="0" w:name="_GoBack"/>
      <w:bookmarkEnd w:id="0"/>
    </w:p>
    <w:p w:rsidR="009D00D8" w:rsidRDefault="009D00D8">
      <w:pPr>
        <w:rPr>
          <w:rFonts w:ascii="Arial" w:hAnsi="Arial" w:cs="Arial"/>
          <w:sz w:val="22"/>
          <w:szCs w:val="22"/>
          <w:u w:val="single"/>
          <w:lang w:eastAsia="zh-CN"/>
        </w:rPr>
      </w:pPr>
    </w:p>
    <w:p w:rsidR="009D00D8" w:rsidRDefault="00D94DE8">
      <w:pPr>
        <w:rPr>
          <w:rFonts w:ascii="Arial" w:hAnsi="Arial" w:cs="Arial"/>
          <w:b/>
          <w:szCs w:val="22"/>
          <w:u w:val="single"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评估人姓名：</w:t>
      </w:r>
      <w:r>
        <w:rPr>
          <w:rFonts w:ascii="SimSun" w:eastAsia="SimSun" w:hAnsi="SimSun" w:cs="SimSun"/>
          <w:b/>
          <w:bCs/>
          <w:lang w:eastAsia="zh-CN"/>
        </w:rPr>
        <w:tab/>
      </w:r>
      <w:r>
        <w:rPr>
          <w:rFonts w:ascii="SimSun" w:eastAsia="SimSun" w:hAnsi="SimSun" w:cs="SimSun"/>
          <w:b/>
          <w:bCs/>
          <w:lang w:eastAsia="zh-CN"/>
        </w:rPr>
        <w:tab/>
      </w:r>
      <w:r>
        <w:rPr>
          <w:rFonts w:ascii="SimSun" w:eastAsia="SimSun" w:hAnsi="SimSun" w:cs="SimSun"/>
          <w:b/>
          <w:bCs/>
          <w:lang w:eastAsia="zh-CN"/>
        </w:rPr>
        <w:tab/>
      </w:r>
      <w:r>
        <w:rPr>
          <w:rFonts w:ascii="SimSun" w:eastAsia="SimSun" w:hAnsi="SimSun" w:cs="SimSun"/>
          <w:b/>
          <w:bCs/>
          <w:lang w:eastAsia="zh-CN"/>
        </w:rPr>
        <w:tab/>
      </w:r>
      <w:r>
        <w:rPr>
          <w:rFonts w:ascii="SimSun" w:eastAsia="SimSun" w:hAnsi="SimSun" w:cs="SimSun"/>
          <w:b/>
          <w:bCs/>
          <w:lang w:eastAsia="zh-CN"/>
        </w:rPr>
        <w:tab/>
      </w:r>
      <w:r>
        <w:rPr>
          <w:rFonts w:ascii="SimSun" w:eastAsia="SimSun" w:hAnsi="SimSun" w:cs="SimSun"/>
          <w:b/>
          <w:bCs/>
          <w:lang w:eastAsia="zh-CN"/>
        </w:rPr>
        <w:t>评估日期：</w:t>
      </w:r>
    </w:p>
    <w:p w:rsidR="009D00D8" w:rsidRDefault="009D00D8">
      <w:pPr>
        <w:rPr>
          <w:lang w:eastAsia="zh-CN"/>
        </w:rPr>
      </w:pPr>
    </w:p>
    <w:sectPr w:rsidR="009D00D8" w:rsidSect="009D00D8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1481AB" w:themeColor="accent1" w:themeShade="BF"/>
        <w:left w:val="double" w:sz="4" w:space="24" w:color="1481AB" w:themeColor="accent1" w:themeShade="BF"/>
        <w:bottom w:val="double" w:sz="4" w:space="24" w:color="1481AB" w:themeColor="accent1" w:themeShade="BF"/>
        <w:right w:val="double" w:sz="4" w:space="24" w:color="1481AB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0D8" w:rsidRDefault="009D00D8" w:rsidP="009D00D8">
      <w:r>
        <w:separator/>
      </w:r>
    </w:p>
  </w:endnote>
  <w:endnote w:type="continuationSeparator" w:id="0">
    <w:p w:rsidR="009D00D8" w:rsidRDefault="009D00D8" w:rsidP="009D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D8" w:rsidRDefault="00D94DE8">
    <w:pPr>
      <w:pStyle w:val="Footer"/>
      <w:jc w:val="right"/>
      <w:rPr>
        <w:rFonts w:ascii="Arial" w:hAnsi="Arial" w:cs="Arial"/>
        <w:sz w:val="18"/>
      </w:rPr>
    </w:pPr>
    <w:r>
      <w:rPr>
        <w:rFonts w:ascii="SimSun" w:eastAsia="SimSun" w:hAnsi="SimSun" w:cs="SimSun"/>
        <w:sz w:val="18"/>
        <w:szCs w:val="18"/>
        <w:lang w:eastAsia="zh-CN"/>
      </w:rPr>
      <w:t>页数</w:t>
    </w:r>
    <w:r>
      <w:rPr>
        <w:rFonts w:ascii="SimSun" w:eastAsia="SimSun" w:hAnsi="SimSun" w:cs="SimSun"/>
        <w:sz w:val="18"/>
        <w:szCs w:val="18"/>
        <w:lang w:eastAsia="zh-CN"/>
      </w:rPr>
      <w:t xml:space="preserve"> </w:t>
    </w:r>
    <w:sdt>
      <w:sdtPr>
        <w:rPr>
          <w:rFonts w:ascii="Arial" w:hAnsi="Arial" w:cs="Arial"/>
          <w:sz w:val="18"/>
        </w:rPr>
        <w:id w:val="339122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00D8">
          <w:rPr>
            <w:rFonts w:ascii="Arial" w:hAnsi="Arial" w:cs="Arial"/>
            <w:sz w:val="18"/>
          </w:rPr>
          <w:fldChar w:fldCharType="begin"/>
        </w:r>
        <w:r>
          <w:rPr>
            <w:rFonts w:ascii="Arial" w:hAnsi="Arial" w:cs="Arial"/>
            <w:sz w:val="18"/>
          </w:rPr>
          <w:instrText xml:space="preserve"> PAGE   \* MERGEFORMAT </w:instrText>
        </w:r>
        <w:r w:rsidR="009D00D8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3</w:t>
        </w:r>
        <w:r w:rsidR="009D00D8">
          <w:rPr>
            <w:rFonts w:ascii="Arial" w:hAnsi="Arial" w:cs="Arial"/>
            <w:noProof/>
            <w:sz w:val="18"/>
          </w:rPr>
          <w:fldChar w:fldCharType="end"/>
        </w:r>
      </w:sdtContent>
    </w:sdt>
  </w:p>
  <w:p w:rsidR="009D00D8" w:rsidRDefault="009D00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D8" w:rsidRDefault="00D94DE8">
    <w:pPr>
      <w:pStyle w:val="Footer"/>
      <w:jc w:val="right"/>
      <w:rPr>
        <w:rFonts w:ascii="Arial" w:hAnsi="Arial" w:cs="Arial"/>
        <w:sz w:val="18"/>
      </w:rPr>
    </w:pPr>
    <w:r>
      <w:rPr>
        <w:rFonts w:ascii="SimSun" w:eastAsia="SimSun" w:hAnsi="SimSun" w:cs="SimSun"/>
        <w:sz w:val="18"/>
        <w:szCs w:val="18"/>
        <w:lang w:eastAsia="zh-CN"/>
      </w:rPr>
      <w:t>页数</w:t>
    </w:r>
    <w:r>
      <w:rPr>
        <w:rFonts w:ascii="SimSun" w:eastAsia="SimSun" w:hAnsi="SimSun" w:cs="SimSun"/>
        <w:sz w:val="18"/>
        <w:szCs w:val="18"/>
        <w:lang w:eastAsia="zh-CN"/>
      </w:rPr>
      <w:t xml:space="preserve"> </w:t>
    </w:r>
    <w:sdt>
      <w:sdtPr>
        <w:rPr>
          <w:rFonts w:ascii="Arial" w:hAnsi="Arial" w:cs="Arial"/>
          <w:sz w:val="18"/>
        </w:rPr>
        <w:id w:val="-304317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00D8">
          <w:rPr>
            <w:rFonts w:ascii="Arial" w:hAnsi="Arial" w:cs="Arial"/>
            <w:sz w:val="18"/>
          </w:rPr>
          <w:fldChar w:fldCharType="begin"/>
        </w:r>
        <w:r>
          <w:rPr>
            <w:rFonts w:ascii="Arial" w:hAnsi="Arial" w:cs="Arial"/>
            <w:sz w:val="18"/>
          </w:rPr>
          <w:instrText xml:space="preserve"> PAGE   \* MERGEFORMAT </w:instrText>
        </w:r>
        <w:r w:rsidR="009D00D8">
          <w:rPr>
            <w:rFonts w:ascii="Arial" w:hAnsi="Arial" w:cs="Arial"/>
            <w:sz w:val="18"/>
          </w:rPr>
          <w:fldChar w:fldCharType="separate"/>
        </w:r>
        <w:r>
          <w:rPr>
            <w:rFonts w:ascii="Arial" w:hAnsi="Arial" w:cs="Arial"/>
            <w:noProof/>
            <w:sz w:val="18"/>
          </w:rPr>
          <w:t>1</w:t>
        </w:r>
        <w:r w:rsidR="009D00D8">
          <w:rPr>
            <w:rFonts w:ascii="Arial" w:hAnsi="Arial" w:cs="Arial"/>
            <w:noProof/>
            <w:sz w:val="18"/>
          </w:rPr>
          <w:fldChar w:fldCharType="end"/>
        </w:r>
      </w:sdtContent>
    </w:sdt>
  </w:p>
  <w:p w:rsidR="009D00D8" w:rsidRDefault="009D00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0D8" w:rsidRDefault="009D00D8" w:rsidP="009D00D8">
      <w:r>
        <w:separator/>
      </w:r>
    </w:p>
  </w:footnote>
  <w:footnote w:type="continuationSeparator" w:id="0">
    <w:p w:rsidR="009D00D8" w:rsidRDefault="009D00D8" w:rsidP="009D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D8" w:rsidRDefault="00D94DE8">
    <w:pPr>
      <w:pStyle w:val="Header"/>
      <w:rPr>
        <w:rFonts w:ascii="Arial" w:hAnsi="Arial" w:cs="Arial"/>
        <w:i/>
        <w:color w:val="000000" w:themeColor="text1"/>
        <w:sz w:val="20"/>
      </w:rPr>
    </w:pP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 xml:space="preserve">QEA </w:t>
    </w: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>数据收集表</w:t>
    </w: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ab/>
    </w: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ab/>
      <w:t xml:space="preserve">2019 </w:t>
    </w: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>年</w:t>
    </w: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 xml:space="preserve"> 6 </w:t>
    </w:r>
    <w:r>
      <w:rPr>
        <w:rFonts w:ascii="SimSun" w:eastAsia="SimSun" w:hAnsi="SimSun" w:cs="SimSun"/>
        <w:i/>
        <w:iCs/>
        <w:color w:val="000000"/>
        <w:sz w:val="20"/>
        <w:szCs w:val="20"/>
        <w:lang w:eastAsia="zh-CN"/>
      </w:rPr>
      <w:t>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0D8" w:rsidRDefault="00D94DE8">
    <w:pPr>
      <w:pStyle w:val="Header"/>
    </w:pPr>
    <w:r>
      <w:rPr>
        <w:noProof/>
        <w:lang w:eastAsia="zh-CN"/>
      </w:rPr>
      <w:drawing>
        <wp:inline distT="0" distB="0" distL="0" distR="0">
          <wp:extent cx="2641600" cy="695961"/>
          <wp:effectExtent l="0" t="0" r="635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P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1" cy="73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00D8" w:rsidRDefault="009D00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8" style="width:0;height:1.5pt" o:hralign="center" o:bullet="t" o:hrstd="t" o:hr="t" fillcolor="#a0a0a0" stroked="f"/>
    </w:pict>
  </w:numPicBullet>
  <w:abstractNum w:abstractNumId="0">
    <w:nsid w:val="640B3850"/>
    <w:multiLevelType w:val="hybridMultilevel"/>
    <w:tmpl w:val="4CA279E0"/>
    <w:lvl w:ilvl="0" w:tplc="6FAA3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C8D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D05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787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886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529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8A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43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FE2C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0D8"/>
    <w:rsid w:val="009D00D8"/>
    <w:rsid w:val="00D9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00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D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9D00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D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D8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9D0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4eed5d-d89e-4d16-9da0-5869b67571c3">
      <UserInfo>
        <DisplayName>Pamela Brody-Heine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10" ma:contentTypeDescription="Create a new document." ma:contentTypeScope="" ma:versionID="8c732201e636605fbaa48d283deeba81">
  <xsd:schema xmlns:xsd="http://www.w3.org/2001/XMLSchema" xmlns:xs="http://www.w3.org/2001/XMLSchema" xmlns:p="http://schemas.microsoft.com/office/2006/metadata/properties" xmlns:ns2="b44eed5d-d89e-4d16-9da0-5869b67571c3" xmlns:ns3="ce8d3388-47b5-4ba2-a3ec-040e3890d3b4" targetNamespace="http://schemas.microsoft.com/office/2006/metadata/properties" ma:root="true" ma:fieldsID="480b12e1c2813c82636e3948bff06bb0" ns2:_="" ns3:_=""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172C5-186F-4454-B757-AA56792B73C7}">
  <ds:schemaRefs>
    <ds:schemaRef ds:uri="b44eed5d-d89e-4d16-9da0-5869b67571c3"/>
    <ds:schemaRef ds:uri="http://purl.org/dc/dcmitype/"/>
    <ds:schemaRef ds:uri="http://www.w3.org/XML/1998/namespace"/>
    <ds:schemaRef ds:uri="ce8d3388-47b5-4ba2-a3ec-040e3890d3b4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66AFA1-B8BA-4CE5-986C-7AC5A6065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eed5d-d89e-4d16-9da0-5869b67571c3"/>
    <ds:schemaRef ds:uri="ce8d3388-47b5-4ba2-a3ec-040e3890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C9D882-7776-4AAF-B2CD-19E3319EB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Kriss</dc:creator>
  <cp:lastModifiedBy>agates</cp:lastModifiedBy>
  <cp:revision>3</cp:revision>
  <dcterms:created xsi:type="dcterms:W3CDTF">2019-07-24T15:43:00Z</dcterms:created>
  <dcterms:modified xsi:type="dcterms:W3CDTF">2019-07-29T15:36:00Z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0x010100C2098CA4FC56274096C0222A9CE23370</vt:lpwstr>
  </property>
</Properties>
</file>